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3A" w:rsidRPr="008E357D" w:rsidRDefault="006A6A3A" w:rsidP="006A6A3A">
      <w:pPr>
        <w:pStyle w:val="Corpodetexto"/>
        <w:tabs>
          <w:tab w:val="left" w:leader="dot" w:pos="4027"/>
        </w:tabs>
        <w:spacing w:before="1"/>
        <w:jc w:val="center"/>
        <w:rPr>
          <w:b/>
          <w:u w:val="single"/>
        </w:rPr>
      </w:pPr>
      <w:r w:rsidRPr="008E357D">
        <w:rPr>
          <w:b/>
          <w:u w:val="single"/>
        </w:rPr>
        <w:t>DECRETO</w:t>
      </w:r>
      <w:r w:rsidRPr="008E357D"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Nº50</w:t>
      </w:r>
      <w:r w:rsidRPr="008E357D"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de 28 de abril de </w:t>
      </w:r>
      <w:r w:rsidRPr="008E357D">
        <w:rPr>
          <w:b/>
          <w:u w:val="single"/>
        </w:rPr>
        <w:t>2021</w:t>
      </w:r>
    </w:p>
    <w:p w:rsidR="006A6A3A" w:rsidRDefault="006A6A3A" w:rsidP="006A6A3A">
      <w:pPr>
        <w:pStyle w:val="Corpodetexto"/>
        <w:spacing w:before="11"/>
        <w:rPr>
          <w:sz w:val="21"/>
        </w:rPr>
      </w:pPr>
    </w:p>
    <w:p w:rsidR="006A6A3A" w:rsidRDefault="006A6A3A" w:rsidP="006A6A3A">
      <w:pPr>
        <w:pStyle w:val="Corpodetexto"/>
        <w:ind w:left="4313" w:right="-47"/>
        <w:jc w:val="both"/>
        <w:rPr>
          <w:b/>
        </w:rPr>
      </w:pPr>
      <w:r w:rsidRPr="001870DB">
        <w:rPr>
          <w:b/>
        </w:rPr>
        <w:t>ESTABELECE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O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PLANO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DE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AÇÃO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PARA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ATENDER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O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PADRÃO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MÍNIMO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DE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QUALIDADE DO SISTEMA ÚNICO E INTEGRADO DE EXECUÇÃO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ORÇAMENTÁRIA, ADMINISTRAÇÃO FINANCEIRA E CONTROLE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–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SIAFIC, NOS TERMOS DO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DECRETO</w:t>
      </w:r>
      <w:r w:rsidRPr="001870DB">
        <w:rPr>
          <w:b/>
          <w:spacing w:val="-1"/>
        </w:rPr>
        <w:t xml:space="preserve"> </w:t>
      </w:r>
      <w:r w:rsidRPr="001870DB">
        <w:rPr>
          <w:b/>
        </w:rPr>
        <w:t>FEDERAL</w:t>
      </w:r>
      <w:r w:rsidRPr="001870DB">
        <w:rPr>
          <w:b/>
          <w:spacing w:val="1"/>
        </w:rPr>
        <w:t xml:space="preserve"> </w:t>
      </w:r>
      <w:r w:rsidRPr="001870DB">
        <w:rPr>
          <w:b/>
        </w:rPr>
        <w:t>Nº 10.540/2020</w:t>
      </w:r>
      <w:r>
        <w:rPr>
          <w:b/>
        </w:rPr>
        <w:t>, NO AMBITO DA PREFEIURA MUNICIPAL DE BRUNÓPOLIS/SC E DÁ OUTRAS PROVIDENCIAS.</w:t>
      </w:r>
    </w:p>
    <w:p w:rsidR="006A6A3A" w:rsidRDefault="006A6A3A" w:rsidP="006A6A3A">
      <w:pPr>
        <w:pStyle w:val="Corpodetexto"/>
        <w:ind w:left="4313" w:right="231"/>
        <w:jc w:val="both"/>
      </w:pPr>
    </w:p>
    <w:p w:rsidR="006A6A3A" w:rsidRDefault="006A6A3A" w:rsidP="006A6A3A">
      <w:pPr>
        <w:pStyle w:val="Corpodetexto"/>
        <w:jc w:val="both"/>
      </w:pPr>
      <w:r>
        <w:tab/>
      </w:r>
      <w:r>
        <w:rPr>
          <w:b/>
          <w:bCs/>
        </w:rPr>
        <w:t>VOLCIR CANUTO</w:t>
      </w:r>
      <w:r>
        <w:t xml:space="preserve"> Prefeito Municipal de Brunópolis, Estado de Santa Catarina, no uso de suas atribuições legais que lhe são conferidas pela Lei Orgânica Municipal, e considerando a determinação contida no art. 18 do Decreto Federal nº 10.540/2020;</w:t>
      </w:r>
    </w:p>
    <w:p w:rsidR="006A6A3A" w:rsidRPr="008E357D" w:rsidRDefault="006A6A3A" w:rsidP="006A6A3A">
      <w:pPr>
        <w:jc w:val="center"/>
        <w:rPr>
          <w:b/>
          <w:sz w:val="24"/>
        </w:rPr>
      </w:pPr>
      <w:r w:rsidRPr="008E357D">
        <w:rPr>
          <w:b/>
          <w:sz w:val="24"/>
        </w:rPr>
        <w:t>DECRETA:</w:t>
      </w:r>
    </w:p>
    <w:p w:rsidR="006A6A3A" w:rsidRDefault="006A6A3A" w:rsidP="006A6A3A">
      <w:pPr>
        <w:pStyle w:val="Corpodetexto"/>
        <w:spacing w:before="2"/>
        <w:rPr>
          <w:b/>
          <w:sz w:val="16"/>
        </w:rPr>
      </w:pPr>
    </w:p>
    <w:p w:rsidR="006A6A3A" w:rsidRDefault="006A6A3A" w:rsidP="006A6A3A">
      <w:pPr>
        <w:pStyle w:val="Corpodetexto"/>
        <w:spacing w:before="90"/>
        <w:ind w:firstLine="567"/>
        <w:jc w:val="both"/>
      </w:pPr>
      <w:r w:rsidRPr="008E357D">
        <w:rPr>
          <w:b/>
        </w:rPr>
        <w:t>Art. 1º</w:t>
      </w:r>
      <w:r>
        <w:t xml:space="preserve"> - Fica estabelecido o Plano de Ação constante no</w:t>
      </w:r>
      <w:r>
        <w:rPr>
          <w:spacing w:val="1"/>
        </w:rPr>
        <w:t xml:space="preserve"> A</w:t>
      </w:r>
      <w:r>
        <w:t xml:space="preserve">nexo I, que é parte integrante do presente Decreto, com a finalidade de ajustar o Sistema </w:t>
      </w:r>
      <w:proofErr w:type="gramStart"/>
      <w:r>
        <w:t xml:space="preserve">Único </w:t>
      </w:r>
      <w:r>
        <w:rPr>
          <w:spacing w:val="-57"/>
        </w:rPr>
        <w:t xml:space="preserve"> </w:t>
      </w:r>
      <w:r>
        <w:t>e</w:t>
      </w:r>
      <w:proofErr w:type="gramEnd"/>
      <w:r>
        <w:t xml:space="preserve"> Integrado de Execução Orçamentária, Administração Financeira e Controle – SIAFIC, ao padrão</w:t>
      </w:r>
      <w:r>
        <w:rPr>
          <w:spacing w:val="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qualidade,</w:t>
      </w:r>
      <w:r>
        <w:rPr>
          <w:spacing w:val="-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Decreto Federal</w:t>
      </w:r>
      <w:r>
        <w:rPr>
          <w:spacing w:val="-1"/>
        </w:rPr>
        <w:t xml:space="preserve"> </w:t>
      </w:r>
      <w:r>
        <w:t>nº 10.540, de</w:t>
      </w:r>
      <w:r>
        <w:rPr>
          <w:spacing w:val="-2"/>
        </w:rPr>
        <w:t xml:space="preserve"> </w:t>
      </w:r>
      <w:r>
        <w:t>5 de novembro de</w:t>
      </w:r>
      <w:r>
        <w:rPr>
          <w:spacing w:val="-3"/>
        </w:rPr>
        <w:t xml:space="preserve"> </w:t>
      </w:r>
      <w:r>
        <w:t>2020.</w:t>
      </w:r>
    </w:p>
    <w:p w:rsidR="006A6A3A" w:rsidRDefault="006A6A3A" w:rsidP="006A6A3A">
      <w:pPr>
        <w:pStyle w:val="Corpodetexto"/>
        <w:ind w:firstLine="608"/>
        <w:jc w:val="both"/>
      </w:pPr>
      <w:r w:rsidRPr="008E357D">
        <w:rPr>
          <w:b/>
        </w:rPr>
        <w:t>Art. 2º</w:t>
      </w:r>
      <w:r>
        <w:t xml:space="preserve"> - O SIAFIC corresponde à solução de tecnologia da informação mantida e gerenciada pelo</w:t>
      </w:r>
      <w:r>
        <w:rPr>
          <w:spacing w:val="1"/>
        </w:rPr>
        <w:t xml:space="preserve"> </w:t>
      </w:r>
      <w:r>
        <w:t>Poder Executivo, incluindo a responsabilidade pela contratação, com ou sem rateio de despesas,</w:t>
      </w:r>
      <w:r>
        <w:rPr>
          <w:spacing w:val="1"/>
        </w:rPr>
        <w:t xml:space="preserve"> </w:t>
      </w:r>
      <w:r>
        <w:t>utilizada pelos Poderes</w:t>
      </w:r>
      <w:r>
        <w:rPr>
          <w:spacing w:val="1"/>
        </w:rPr>
        <w:t xml:space="preserve"> </w:t>
      </w:r>
      <w:r>
        <w:t>Executivo e Legislativo</w:t>
      </w:r>
      <w:r>
        <w:rPr>
          <w:spacing w:val="60"/>
        </w:rPr>
        <w:t xml:space="preserve"> </w:t>
      </w:r>
      <w:r>
        <w:t>Municipal, e demais órgãos da Administração</w:t>
      </w:r>
      <w:r>
        <w:rPr>
          <w:spacing w:val="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Indireta, incluídos</w:t>
      </w:r>
      <w:r>
        <w:rPr>
          <w:spacing w:val="-1"/>
        </w:rPr>
        <w:t xml:space="preserve"> </w:t>
      </w:r>
      <w:r>
        <w:t>Autarquias, Fundações,</w:t>
      </w:r>
      <w:r>
        <w:rPr>
          <w:spacing w:val="-1"/>
        </w:rPr>
        <w:t xml:space="preserve"> </w:t>
      </w:r>
      <w:r>
        <w:t>Fundos Especiais,</w:t>
      </w:r>
      <w:r>
        <w:rPr>
          <w:spacing w:val="1"/>
        </w:rPr>
        <w:t xml:space="preserve"> </w:t>
      </w:r>
      <w:r>
        <w:t>resguardada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autonomia.</w:t>
      </w:r>
    </w:p>
    <w:p w:rsidR="006A6A3A" w:rsidRDefault="006A6A3A" w:rsidP="006A6A3A">
      <w:pPr>
        <w:pStyle w:val="Corpodetexto"/>
        <w:ind w:firstLine="1134"/>
        <w:jc w:val="both"/>
      </w:pPr>
      <w:r>
        <w:t>§ 1º É vedada a existência de mais de um SIAFIC no Município, mesmo que estes permitam a</w:t>
      </w:r>
      <w:r>
        <w:rPr>
          <w:spacing w:val="1"/>
        </w:rPr>
        <w:t xml:space="preserve"> </w:t>
      </w:r>
      <w:r>
        <w:t>comunicação,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si, por intermédio de</w:t>
      </w:r>
      <w:r>
        <w:rPr>
          <w:spacing w:val="-1"/>
        </w:rPr>
        <w:t xml:space="preserve"> </w:t>
      </w:r>
      <w:r>
        <w:t>transmissão de</w:t>
      </w:r>
      <w:r>
        <w:rPr>
          <w:spacing w:val="-1"/>
        </w:rPr>
        <w:t xml:space="preserve"> </w:t>
      </w:r>
      <w:r>
        <w:t>dados.</w:t>
      </w:r>
    </w:p>
    <w:p w:rsidR="006A6A3A" w:rsidRDefault="006A6A3A" w:rsidP="006A6A3A">
      <w:pPr>
        <w:pStyle w:val="Corpodetexto"/>
        <w:ind w:firstLine="1134"/>
        <w:jc w:val="both"/>
      </w:pPr>
      <w:r>
        <w:t>§ 2º O SIAFIC tem a finalidade de registrar os atos e fatos relacionados com a administração</w:t>
      </w:r>
      <w:r>
        <w:rPr>
          <w:spacing w:val="1"/>
        </w:rPr>
        <w:t xml:space="preserve"> </w:t>
      </w:r>
      <w:r>
        <w:t>orçamentária, financeira e patrimonial, além de controlar e permitir a evidenciação da Contabilidade Aplicada ao Setor Público, dos Órgãos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 xml:space="preserve">o </w:t>
      </w:r>
      <w:r>
        <w:rPr>
          <w:b/>
        </w:rPr>
        <w:t xml:space="preserve">caput </w:t>
      </w:r>
      <w:r>
        <w:t>deste artigo.</w:t>
      </w:r>
    </w:p>
    <w:p w:rsidR="006A6A3A" w:rsidRDefault="006A6A3A" w:rsidP="006A6A3A">
      <w:pPr>
        <w:pStyle w:val="Corpodetexto"/>
        <w:ind w:firstLine="567"/>
        <w:jc w:val="both"/>
      </w:pPr>
      <w:r w:rsidRPr="008E357D">
        <w:rPr>
          <w:b/>
        </w:rPr>
        <w:t>Art. 3º</w:t>
      </w:r>
      <w:r>
        <w:t xml:space="preserve"> - A Comissão Especial referida no Plano de Ação, con</w:t>
      </w:r>
      <w:r>
        <w:t>s</w:t>
      </w:r>
      <w:r>
        <w:t>tante no anexo deste Decreto, terá a atribuição de definir os requisitos mínimos de qualidade que o SIAFIC a ser contratado pela Administração Municipal deve obedecer, respeitando as disposições do Decreto Federal 10.520/2020, e será composta por:</w:t>
      </w:r>
    </w:p>
    <w:p w:rsidR="006A6A3A" w:rsidRDefault="006A6A3A" w:rsidP="006A6A3A">
      <w:pPr>
        <w:pStyle w:val="Corpodetexto"/>
        <w:ind w:firstLine="567"/>
        <w:jc w:val="both"/>
      </w:pPr>
      <w:r>
        <w:t xml:space="preserve">I – Rachel Karla </w:t>
      </w:r>
      <w:proofErr w:type="spellStart"/>
      <w:r>
        <w:t>Gobbi;</w:t>
      </w:r>
      <w:proofErr w:type="spellEnd"/>
    </w:p>
    <w:p w:rsidR="006A6A3A" w:rsidRDefault="006A6A3A" w:rsidP="006A6A3A">
      <w:pPr>
        <w:pStyle w:val="Corpodetexto"/>
        <w:ind w:firstLine="567"/>
        <w:jc w:val="both"/>
      </w:pPr>
      <w:r>
        <w:t xml:space="preserve">II – Elaine </w:t>
      </w:r>
      <w:proofErr w:type="spellStart"/>
      <w:r>
        <w:t>Novacki</w:t>
      </w:r>
      <w:proofErr w:type="spellEnd"/>
      <w:r>
        <w:t xml:space="preserve"> dos Santos;</w:t>
      </w:r>
    </w:p>
    <w:p w:rsidR="006A6A3A" w:rsidRPr="008C5987" w:rsidRDefault="006A6A3A" w:rsidP="006A6A3A">
      <w:pPr>
        <w:pStyle w:val="Corpodetexto"/>
        <w:ind w:firstLine="567"/>
        <w:jc w:val="both"/>
        <w:rPr>
          <w:color w:val="FF0000"/>
        </w:rPr>
      </w:pPr>
      <w:r>
        <w:t xml:space="preserve">III – Marcelo Bueno </w:t>
      </w:r>
      <w:proofErr w:type="gramStart"/>
      <w:r>
        <w:t>Ribeiro</w:t>
      </w:r>
      <w:r w:rsidRPr="008C5987">
        <w:rPr>
          <w:color w:val="FF0000"/>
        </w:rPr>
        <w:t xml:space="preserve"> </w:t>
      </w:r>
      <w:r>
        <w:rPr>
          <w:color w:val="FF0000"/>
        </w:rPr>
        <w:t>.</w:t>
      </w:r>
      <w:proofErr w:type="gramEnd"/>
    </w:p>
    <w:p w:rsidR="006A6A3A" w:rsidRDefault="006A6A3A" w:rsidP="006A6A3A">
      <w:pPr>
        <w:pStyle w:val="Corpodetexto"/>
        <w:ind w:right="-1" w:firstLine="1134"/>
        <w:jc w:val="both"/>
      </w:pPr>
      <w:r>
        <w:t>§ 1º A Comissão Especial escolherá um presidente dentre seus membros e estabelecerá os procedimentos que regerão seus trabalhos.</w:t>
      </w:r>
    </w:p>
    <w:p w:rsidR="006A6A3A" w:rsidRDefault="006A6A3A" w:rsidP="006A6A3A">
      <w:pPr>
        <w:pStyle w:val="Corpodetexto"/>
        <w:ind w:firstLine="1134"/>
        <w:jc w:val="both"/>
      </w:pPr>
      <w:r>
        <w:t>§ 2º. A Comissão Especial avaliará o software conforme Tabela de Padrão de Qualidade, ver Anexo</w:t>
      </w:r>
      <w:r>
        <w:t xml:space="preserve"> Único</w:t>
      </w:r>
      <w:r>
        <w:t xml:space="preserve"> deste Decreto.</w:t>
      </w:r>
    </w:p>
    <w:p w:rsidR="006A6A3A" w:rsidRDefault="006A6A3A" w:rsidP="006A6A3A">
      <w:pPr>
        <w:pStyle w:val="Corpodetexto"/>
        <w:ind w:right="-1" w:firstLine="720"/>
        <w:jc w:val="both"/>
      </w:pPr>
      <w:r w:rsidRPr="00377830">
        <w:rPr>
          <w:b/>
        </w:rPr>
        <w:lastRenderedPageBreak/>
        <w:t>Art. 4º</w:t>
      </w:r>
      <w:r>
        <w:t xml:space="preserve"> Este Decreto entrará em vigor na data de sua publicação, com efeitos do Art. 2º, somente a partir de 1º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 de</w:t>
      </w:r>
      <w:r>
        <w:rPr>
          <w:spacing w:val="-2"/>
        </w:rPr>
        <w:t xml:space="preserve"> </w:t>
      </w:r>
      <w:r>
        <w:t>2023,</w:t>
      </w:r>
      <w:r>
        <w:rPr>
          <w:spacing w:val="2"/>
        </w:rPr>
        <w:t xml:space="preserve"> </w:t>
      </w:r>
      <w:r>
        <w:t>conforme art. 18, do</w:t>
      </w:r>
      <w:r>
        <w:rPr>
          <w:spacing w:val="-1"/>
        </w:rPr>
        <w:t xml:space="preserve"> </w:t>
      </w:r>
      <w:r>
        <w:t>Decreto Federal nº 10.540/2020.</w:t>
      </w:r>
    </w:p>
    <w:p w:rsidR="006A6A3A" w:rsidRDefault="006A6A3A" w:rsidP="006A6A3A">
      <w:pPr>
        <w:pStyle w:val="Corpodetexto"/>
        <w:spacing w:before="1"/>
        <w:ind w:firstLine="720"/>
        <w:jc w:val="both"/>
      </w:pPr>
      <w:r w:rsidRPr="00377830">
        <w:rPr>
          <w:b/>
        </w:rPr>
        <w:t>Art.</w:t>
      </w:r>
      <w:r w:rsidRPr="00377830">
        <w:rPr>
          <w:b/>
          <w:spacing w:val="-2"/>
        </w:rPr>
        <w:t xml:space="preserve"> </w:t>
      </w:r>
      <w:r w:rsidRPr="00377830">
        <w:rPr>
          <w:b/>
        </w:rPr>
        <w:t>5º</w:t>
      </w:r>
      <w:r>
        <w:rPr>
          <w:spacing w:val="-1"/>
        </w:rPr>
        <w:t xml:space="preserve"> </w:t>
      </w:r>
      <w:r>
        <w:t>Ficam</w:t>
      </w:r>
      <w:r>
        <w:rPr>
          <w:spacing w:val="-1"/>
        </w:rPr>
        <w:t xml:space="preserve"> </w:t>
      </w:r>
      <w:r>
        <w:t>revogadas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contrário.</w:t>
      </w:r>
    </w:p>
    <w:p w:rsidR="006A6A3A" w:rsidRDefault="006A6A3A" w:rsidP="006A6A3A">
      <w:pPr>
        <w:pStyle w:val="Corpodetexto"/>
        <w:tabs>
          <w:tab w:val="left" w:leader="dot" w:pos="5434"/>
        </w:tabs>
        <w:ind w:left="112"/>
        <w:jc w:val="center"/>
      </w:pPr>
      <w:r>
        <w:t>Município de Brunópolis,</w:t>
      </w:r>
      <w:r>
        <w:rPr>
          <w:spacing w:val="59"/>
        </w:rPr>
        <w:t xml:space="preserve"> </w:t>
      </w:r>
      <w:r>
        <w:t>em 28</w:t>
      </w:r>
      <w:r>
        <w:rPr>
          <w:spacing w:val="-1"/>
        </w:rPr>
        <w:t xml:space="preserve"> </w:t>
      </w:r>
      <w:r>
        <w:t>de abril de</w:t>
      </w:r>
      <w:r>
        <w:rPr>
          <w:spacing w:val="-1"/>
        </w:rPr>
        <w:t xml:space="preserve"> </w:t>
      </w:r>
      <w:r>
        <w:t>2021.</w:t>
      </w:r>
    </w:p>
    <w:p w:rsidR="006A6A3A" w:rsidRDefault="006A6A3A" w:rsidP="006A6A3A">
      <w:pPr>
        <w:pStyle w:val="Corpodetexto"/>
        <w:tabs>
          <w:tab w:val="left" w:leader="dot" w:pos="5434"/>
        </w:tabs>
        <w:ind w:left="112"/>
        <w:jc w:val="both"/>
      </w:pPr>
    </w:p>
    <w:p w:rsidR="006A6A3A" w:rsidRDefault="006A6A3A" w:rsidP="006A6A3A">
      <w:pPr>
        <w:pStyle w:val="Corpodetexto"/>
        <w:spacing w:line="247" w:lineRule="exact"/>
        <w:ind w:left="235" w:right="358"/>
        <w:jc w:val="center"/>
        <w:rPr>
          <w:b/>
        </w:rPr>
      </w:pPr>
      <w:r>
        <w:rPr>
          <w:b/>
        </w:rPr>
        <w:t>VOLCIR CANUTO</w:t>
      </w:r>
    </w:p>
    <w:p w:rsidR="006A6A3A" w:rsidRDefault="006A6A3A" w:rsidP="006A6A3A">
      <w:pPr>
        <w:pStyle w:val="Corpodetexto"/>
        <w:spacing w:line="247" w:lineRule="exact"/>
        <w:ind w:left="235" w:right="358"/>
        <w:jc w:val="center"/>
        <w:rPr>
          <w:b/>
        </w:rPr>
      </w:pPr>
      <w:r w:rsidRPr="00377830">
        <w:rPr>
          <w:b/>
        </w:rPr>
        <w:t>Prefeito</w:t>
      </w:r>
      <w:r w:rsidRPr="00377830">
        <w:rPr>
          <w:b/>
          <w:spacing w:val="-3"/>
        </w:rPr>
        <w:t xml:space="preserve"> </w:t>
      </w:r>
      <w:r w:rsidRPr="00377830">
        <w:rPr>
          <w:b/>
        </w:rPr>
        <w:t>Municipal</w:t>
      </w:r>
    </w:p>
    <w:p w:rsidR="006A6A3A" w:rsidRDefault="006A6A3A" w:rsidP="006A6A3A">
      <w:pPr>
        <w:pStyle w:val="Corpodetexto"/>
        <w:spacing w:line="247" w:lineRule="exact"/>
        <w:ind w:left="235" w:right="358"/>
        <w:jc w:val="center"/>
        <w:rPr>
          <w:b/>
        </w:rPr>
      </w:pPr>
    </w:p>
    <w:p w:rsidR="006A6A3A" w:rsidRDefault="006A6A3A" w:rsidP="006A6A3A">
      <w:pPr>
        <w:pStyle w:val="Corpodetexto"/>
        <w:spacing w:line="247" w:lineRule="exact"/>
        <w:ind w:left="235" w:right="358"/>
        <w:jc w:val="center"/>
        <w:rPr>
          <w:b/>
        </w:rPr>
      </w:pPr>
    </w:p>
    <w:p w:rsidR="006A6A3A" w:rsidRDefault="006A6A3A" w:rsidP="006A6A3A">
      <w:pPr>
        <w:pStyle w:val="Corpodetexto"/>
        <w:spacing w:line="247" w:lineRule="exact"/>
        <w:ind w:left="235" w:right="358"/>
        <w:jc w:val="center"/>
        <w:rPr>
          <w:b/>
        </w:rPr>
      </w:pPr>
      <w:r>
        <w:rPr>
          <w:b/>
        </w:rPr>
        <w:t>ELAINE NOVAKI DOS SANTOS</w:t>
      </w:r>
    </w:p>
    <w:p w:rsidR="006A6A3A" w:rsidRPr="00377830" w:rsidRDefault="006A6A3A" w:rsidP="006A6A3A">
      <w:pPr>
        <w:pStyle w:val="Corpodetexto"/>
        <w:spacing w:line="247" w:lineRule="exact"/>
        <w:ind w:left="235" w:right="358"/>
        <w:jc w:val="center"/>
        <w:rPr>
          <w:b/>
        </w:rPr>
      </w:pPr>
      <w:r>
        <w:rPr>
          <w:b/>
        </w:rPr>
        <w:t>Secretária de Administração Planejamento e Fazenda.</w:t>
      </w:r>
    </w:p>
    <w:p w:rsidR="00281257" w:rsidRDefault="00281257">
      <w:pPr>
        <w:rPr>
          <w:rFonts w:ascii="Bookman Old Style" w:hAnsi="Bookman Old Style"/>
          <w:szCs w:val="22"/>
        </w:rPr>
      </w:pPr>
    </w:p>
    <w:p w:rsidR="00281257" w:rsidRDefault="00341394">
      <w:pPr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281257" w:rsidRDefault="00341394">
      <w:pPr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281257" w:rsidRDefault="00341394">
      <w:pPr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281257" w:rsidRDefault="00341394">
      <w:pPr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6A6A3A" w:rsidRDefault="006A6A3A">
      <w:pPr>
        <w:rPr>
          <w:rFonts w:ascii="Bookman Old Style" w:hAnsi="Bookman Old Style"/>
          <w:szCs w:val="22"/>
        </w:rPr>
      </w:pPr>
    </w:p>
    <w:p w:rsidR="006A6A3A" w:rsidRDefault="006A6A3A">
      <w:pPr>
        <w:rPr>
          <w:rFonts w:ascii="Bookman Old Style" w:hAnsi="Bookman Old Style"/>
          <w:szCs w:val="22"/>
        </w:rPr>
      </w:pPr>
    </w:p>
    <w:p w:rsidR="00281257" w:rsidRDefault="00341394">
      <w:pPr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281257" w:rsidRDefault="00341394">
      <w:pPr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6A6A3A" w:rsidRDefault="006A6A3A">
      <w:pPr>
        <w:ind w:left="10" w:right="-15"/>
        <w:jc w:val="center"/>
        <w:rPr>
          <w:rFonts w:ascii="Bookman Old Style" w:hAnsi="Bookman Old Style"/>
          <w:b/>
          <w:szCs w:val="22"/>
        </w:rPr>
      </w:pPr>
    </w:p>
    <w:p w:rsidR="00281257" w:rsidRDefault="00341394">
      <w:pPr>
        <w:ind w:left="10" w:right="-15"/>
        <w:jc w:val="center"/>
        <w:rPr>
          <w:rFonts w:ascii="Bookman Old Style" w:hAnsi="Bookman Old Style"/>
          <w:szCs w:val="22"/>
        </w:rPr>
      </w:pPr>
      <w:bookmarkStart w:id="0" w:name="_GoBack"/>
      <w:bookmarkEnd w:id="0"/>
      <w:r>
        <w:rPr>
          <w:rFonts w:ascii="Bookman Old Style" w:hAnsi="Bookman Old Style"/>
          <w:b/>
          <w:szCs w:val="22"/>
        </w:rPr>
        <w:lastRenderedPageBreak/>
        <w:t xml:space="preserve">ANEXO ÚNICO </w:t>
      </w:r>
    </w:p>
    <w:p w:rsidR="00281257" w:rsidRDefault="00341394">
      <w:pPr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 </w:t>
      </w:r>
    </w:p>
    <w:p w:rsidR="00281257" w:rsidRDefault="00341394">
      <w:pPr>
        <w:ind w:left="10" w:right="-15"/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DECRETO N° </w:t>
      </w:r>
      <w:r w:rsidR="006A6A3A">
        <w:rPr>
          <w:rFonts w:ascii="Bookman Old Style" w:hAnsi="Bookman Old Style"/>
          <w:b/>
          <w:szCs w:val="22"/>
        </w:rPr>
        <w:t>50</w:t>
      </w:r>
      <w:r>
        <w:rPr>
          <w:rFonts w:ascii="Bookman Old Style" w:hAnsi="Bookman Old Style"/>
          <w:b/>
          <w:szCs w:val="22"/>
        </w:rPr>
        <w:t xml:space="preserve"> DE </w:t>
      </w:r>
      <w:r w:rsidR="006A6A3A">
        <w:rPr>
          <w:rFonts w:ascii="Bookman Old Style" w:hAnsi="Bookman Old Style"/>
          <w:b/>
          <w:szCs w:val="22"/>
        </w:rPr>
        <w:t>28 de ABRIL</w:t>
      </w:r>
      <w:r>
        <w:rPr>
          <w:rFonts w:ascii="Bookman Old Style" w:hAnsi="Bookman Old Style"/>
          <w:b/>
          <w:szCs w:val="22"/>
        </w:rPr>
        <w:t xml:space="preserve"> DE 2021 </w:t>
      </w:r>
    </w:p>
    <w:p w:rsidR="00281257" w:rsidRDefault="00341394">
      <w:pPr>
        <w:spacing w:after="2"/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281257" w:rsidRDefault="00341394">
      <w:pPr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  <w:u w:val="single" w:color="000000"/>
        </w:rPr>
        <w:t>PLANO DE ADEQUAÇÃO</w:t>
      </w:r>
      <w:r>
        <w:rPr>
          <w:rFonts w:ascii="Bookman Old Style" w:hAnsi="Bookman Old Style"/>
          <w:b/>
          <w:szCs w:val="22"/>
        </w:rPr>
        <w:t xml:space="preserve"> </w:t>
      </w:r>
    </w:p>
    <w:p w:rsidR="00281257" w:rsidRDefault="00341394">
      <w:pPr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 </w:t>
      </w:r>
    </w:p>
    <w:p w:rsidR="00281257" w:rsidRDefault="00341394">
      <w:pPr>
        <w:ind w:left="214" w:right="-15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Adequação ao padrão mínimo de qualidade do Sistema Único e Integrado de Execução </w:t>
      </w:r>
    </w:p>
    <w:p w:rsidR="00281257" w:rsidRDefault="00341394">
      <w:pPr>
        <w:ind w:left="117" w:right="-15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Orçamentária, Administração Financeira e Controle – SIAFIC, em conformidade com o </w:t>
      </w:r>
    </w:p>
    <w:p w:rsidR="00281257" w:rsidRDefault="00341394">
      <w:pPr>
        <w:ind w:left="10" w:right="-15"/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Decreto Federal nº 10.540/2020 </w:t>
      </w:r>
    </w:p>
    <w:p w:rsidR="00281257" w:rsidRDefault="00341394">
      <w:pPr>
        <w:spacing w:after="3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281257" w:rsidRDefault="00341394">
      <w:pPr>
        <w:spacing w:after="4" w:line="276" w:lineRule="auto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tbl>
      <w:tblPr>
        <w:tblStyle w:val="TableGrid"/>
        <w:tblW w:w="9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9" w:type="dxa"/>
          <w:right w:w="45" w:type="dxa"/>
        </w:tblCellMar>
        <w:tblLook w:val="04A0" w:firstRow="1" w:lastRow="0" w:firstColumn="1" w:lastColumn="0" w:noHBand="0" w:noVBand="1"/>
      </w:tblPr>
      <w:tblGrid>
        <w:gridCol w:w="982"/>
        <w:gridCol w:w="5670"/>
        <w:gridCol w:w="1461"/>
        <w:gridCol w:w="1635"/>
      </w:tblGrid>
      <w:tr w:rsidR="00281257">
        <w:trPr>
          <w:trHeight w:val="97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left="12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ITEM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AÇÕES </w:t>
            </w:r>
          </w:p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DATA </w:t>
            </w:r>
          </w:p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INÍCIO </w:t>
            </w:r>
          </w:p>
          <w:p w:rsidR="00281257" w:rsidRDefault="00341394">
            <w:pPr>
              <w:spacing w:line="276" w:lineRule="auto"/>
              <w:ind w:left="26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(MÊS/ANO)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DATA </w:t>
            </w:r>
          </w:p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>CONCLUSÃO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(MÊS/ANO) </w:t>
            </w:r>
          </w:p>
        </w:tc>
      </w:tr>
      <w:tr w:rsidR="00281257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1.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Permitir a emissão do Diário, Razão e Balancete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4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4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Contábil, individuais ou consolidados, gerados em conformidade com o Plano de Contas Aplicado ao Setor Público – PCASP.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07/2021 </w:t>
            </w:r>
          </w:p>
        </w:tc>
      </w:tr>
      <w:tr w:rsidR="00281257">
        <w:trPr>
          <w:trHeight w:val="50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2.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Permitir a emissão das demonstrações contábeis e dos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1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relatórios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e demonstrativos fiscais, orçamentários, patrimoniais, e financeiros de acordo com o Manual de Contabilidade Aplicada ao Setor Público. 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12/2021 </w:t>
            </w:r>
          </w:p>
        </w:tc>
      </w:tr>
      <w:tr w:rsidR="00281257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3.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Implementar as operações intragovernamentais, com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778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vistas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à evitar as duplicidades na apuração de limites e na consolidação das contas públicas.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4.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Possibilitar que a base de dados do SIAFIC seja compartilhada entre os seus usuários, observadas as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2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normas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e os procedimentos de acesso, permitindo a atualização, a consulta e a extração de dados e de informações de maneira centralizada.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5.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Permitir a integração ou a comunicação, preferencialmente, com sistemas estruturantes cujos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33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dados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possam afetar as informações orçamentárias, contábeis e fiscais, tais como controle patrimonial, arrecadação, contratações públicas, e folha de pagamento.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lastRenderedPageBreak/>
              <w:t>6.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Disponibilizar as informações em tempo real, até o primeiro dia útil subsequente à data do registro contábil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no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Theme="minorEastAsia" w:hAnsi="Bookman Old Style"/>
                <w:szCs w:val="22"/>
              </w:rPr>
              <w:t>Siafic</w:t>
            </w:r>
            <w:proofErr w:type="spellEnd"/>
            <w:r>
              <w:rPr>
                <w:rFonts w:ascii="Bookman Old Style" w:eastAsiaTheme="minorEastAsia" w:hAnsi="Bookman Old Style"/>
                <w:szCs w:val="22"/>
              </w:rPr>
              <w:t xml:space="preserve">, sem prejuízo do desempenho e da preservação das rotinas de segurança operacional necessários ao seu pleno funcionamento.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06/2021 </w:t>
            </w:r>
          </w:p>
        </w:tc>
      </w:tr>
      <w:tr w:rsidR="00281257">
        <w:trPr>
          <w:trHeight w:val="97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left="12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ITEM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AÇÕES </w:t>
            </w:r>
          </w:p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DATA </w:t>
            </w:r>
          </w:p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INÍCIO </w:t>
            </w:r>
          </w:p>
          <w:p w:rsidR="00281257" w:rsidRDefault="00341394">
            <w:pPr>
              <w:spacing w:line="276" w:lineRule="auto"/>
              <w:ind w:left="26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(MÊS/ANO)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DATA </w:t>
            </w:r>
          </w:p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CONCLUSÃO (MÊS/ANO)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7.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Permitir o controle do Patrimônio das Entidades, controlando o conjunto de bens e direitos das Unidades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33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Gestoras, tangíveis ou intangíveis, onerados ou não, adquiridos, formados, produzidos, recebidos, mantidos ou utilizados, conforme definição das normas de contabilidade aplicáveis.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8.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Efetuar o cadastramento e a habilitação de acesso no </w:t>
            </w:r>
          </w:p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eastAsiaTheme="minorEastAsia" w:hAnsi="Bookman Old Style"/>
                <w:szCs w:val="22"/>
              </w:rPr>
              <w:t>Siafic</w:t>
            </w:r>
            <w:proofErr w:type="spellEnd"/>
            <w:r>
              <w:rPr>
                <w:rFonts w:ascii="Bookman Old Style" w:eastAsiaTheme="minorEastAsia" w:hAnsi="Bookman Old Style"/>
                <w:szCs w:val="22"/>
              </w:rPr>
              <w:t xml:space="preserve">, através do seu número de inscrição no Cadastro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328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de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Pessoas Físicas - CPF ou por seu certificado digital, com a finalidade de permitir a inclusão e consulta de documentos, e pela qualidade e veracidade dos dados introduzidos.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51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9.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Efetuar o cadastro do administrador do </w:t>
            </w:r>
            <w:proofErr w:type="spellStart"/>
            <w:r>
              <w:rPr>
                <w:rFonts w:ascii="Bookman Old Style" w:eastAsiaTheme="minorEastAsia" w:hAnsi="Bookman Old Style"/>
                <w:szCs w:val="22"/>
              </w:rPr>
              <w:t>Siafic</w:t>
            </w:r>
            <w:proofErr w:type="spellEnd"/>
            <w:r>
              <w:rPr>
                <w:rFonts w:ascii="Bookman Old Style" w:eastAsiaTheme="minorEastAsia" w:hAnsi="Bookman Old Style"/>
                <w:szCs w:val="22"/>
              </w:rPr>
              <w:t xml:space="preserve">, que será o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agente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responsável por manter e operar o Sistema, encarregado da instalação, do suporte e da manutenção dos servidores e dos bancos de dados.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10.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Os procedimentos contábeis do </w:t>
            </w:r>
            <w:proofErr w:type="spellStart"/>
            <w:r>
              <w:rPr>
                <w:rFonts w:ascii="Bookman Old Style" w:eastAsiaTheme="minorEastAsia" w:hAnsi="Bookman Old Style"/>
                <w:szCs w:val="22"/>
              </w:rPr>
              <w:t>Siafic</w:t>
            </w:r>
            <w:proofErr w:type="spellEnd"/>
            <w:r>
              <w:rPr>
                <w:rFonts w:ascii="Bookman Old Style" w:eastAsiaTheme="minorEastAsia" w:hAnsi="Bookman Old Style"/>
                <w:szCs w:val="22"/>
              </w:rPr>
              <w:t xml:space="preserve"> deverão observar as normas gerais de consolidação das contas públicas de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33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3"/>
            </w:pPr>
            <w:r>
              <w:rPr>
                <w:rFonts w:ascii="Bookman Old Style" w:eastAsiaTheme="minorEastAsia" w:hAnsi="Bookman Old Style"/>
                <w:szCs w:val="22"/>
              </w:rPr>
              <w:t>que trata o</w:t>
            </w:r>
            <w:hyperlink r:id="rId6" w:anchor="art50§2" w:history="1">
              <w:r>
                <w:rPr>
                  <w:rStyle w:val="ListLabel1"/>
                  <w:rFonts w:eastAsiaTheme="minorEastAsia"/>
                </w:rPr>
                <w:t xml:space="preserve"> </w:t>
              </w:r>
            </w:hyperlink>
            <w:hyperlink r:id="rId7" w:anchor="art50§2" w:history="1">
              <w:r>
                <w:rPr>
                  <w:rStyle w:val="ListLabel2"/>
                  <w:rFonts w:eastAsiaTheme="minorEastAsia"/>
                </w:rPr>
                <w:t>§ 2º do art. 50 da Lei Complementar nº 101,</w:t>
              </w:r>
            </w:hyperlink>
            <w:hyperlink r:id="rId8" w:anchor="art50§2" w:history="1">
              <w:r>
                <w:rPr>
                  <w:rStyle w:val="ListLabel1"/>
                  <w:rFonts w:eastAsiaTheme="minorEastAsia"/>
                </w:rPr>
                <w:t xml:space="preserve"> </w:t>
              </w:r>
            </w:hyperlink>
            <w:r>
              <w:rPr>
                <w:rFonts w:ascii="Bookman Old Style" w:eastAsiaTheme="minorEastAsia" w:hAnsi="Bookman Old Style"/>
                <w:szCs w:val="22"/>
                <w:u w:val="single" w:color="000000"/>
              </w:rPr>
              <w:t>de 200</w:t>
            </w:r>
            <w:hyperlink r:id="rId9" w:anchor="art50§2" w:history="1">
              <w:r>
                <w:rPr>
                  <w:rStyle w:val="ListLabel2"/>
                  <w:rFonts w:eastAsiaTheme="minorEastAsia"/>
                </w:rPr>
                <w:t>0</w:t>
              </w:r>
            </w:hyperlink>
            <w:hyperlink r:id="rId10" w:anchor="art50§2" w:history="1">
              <w:r>
                <w:rPr>
                  <w:rStyle w:val="ListLabel1"/>
                  <w:rFonts w:eastAsiaTheme="minorEastAsia"/>
                </w:rPr>
                <w:t>,</w:t>
              </w:r>
            </w:hyperlink>
            <w:r>
              <w:rPr>
                <w:rFonts w:ascii="Bookman Old Style" w:eastAsiaTheme="minorEastAsia" w:hAnsi="Bookman Old Style"/>
                <w:szCs w:val="22"/>
              </w:rPr>
              <w:t xml:space="preserve"> relativas à contabilidade aplicada ao setor público e à elaboração dos relatórios e demonstrativos fiscais.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11.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O Sistema processará e centralizará o registro contábil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2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3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dos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atos e fatos que afetem ou possam afetar o patrimônio da entidade, sem prejuízo do disposto na legislação aplicável.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lastRenderedPageBreak/>
              <w:t>12.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Controlar o registro contábil que representará integralmente o fato ocorrido, observada a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33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tempestividade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necessária para que a informação contábil gerada não perca a sua utilidade, e será efetuado conforme o mecanismo de débitos e créditos em partidas dobradas; em idioma e moeda corrente nacionais.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13.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Possuir os registros contábeis de forma analítica os quais deverão refletir a transação com base em documentação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381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de suporte e assegure o cumprimento da característica qualitativa da </w:t>
            </w:r>
            <w:proofErr w:type="spellStart"/>
            <w:r>
              <w:rPr>
                <w:rFonts w:ascii="Bookman Old Style" w:eastAsiaTheme="minorEastAsia" w:hAnsi="Bookman Old Style"/>
                <w:szCs w:val="22"/>
              </w:rPr>
              <w:t>verificabilidade</w:t>
            </w:r>
            <w:proofErr w:type="spellEnd"/>
            <w:r>
              <w:rPr>
                <w:rFonts w:ascii="Bookman Old Style" w:eastAsiaTheme="minorEastAsia" w:hAnsi="Bookman Old Style"/>
                <w:szCs w:val="22"/>
              </w:rPr>
              <w:t>, devendo conter ainda, no mínimo, os seguintes elementos: a data da ocorrência da transação; a conta debitada; a conta creditada; o histórico da transação, com referência</w:t>
            </w:r>
            <w:r>
              <w:rPr>
                <w:rFonts w:ascii="Bookman Old Style" w:eastAsiaTheme="minorEastAsia" w:hAnsi="Bookman Old Style"/>
                <w:szCs w:val="22"/>
              </w:rPr>
              <w:t xml:space="preserve"> à documentação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97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left="12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ITEM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AÇÕES </w:t>
            </w:r>
          </w:p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DATA </w:t>
            </w:r>
          </w:p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INÍCIO </w:t>
            </w:r>
          </w:p>
          <w:p w:rsidR="00281257" w:rsidRDefault="00341394">
            <w:pPr>
              <w:spacing w:line="276" w:lineRule="auto"/>
              <w:ind w:left="26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(MÊS/ANO)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DATA </w:t>
            </w:r>
          </w:p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CONCLUSÃO (MÊS/ANO) </w:t>
            </w:r>
          </w:p>
        </w:tc>
      </w:tr>
      <w:tr w:rsidR="00281257">
        <w:trPr>
          <w:trHeight w:val="133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de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suporte, de forma descritiva ou por meio de histórico padronizado; o valor da transação; e o número de controle dos registros eletrônicos que integrem um mesmo lançamento contábil.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14.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Contemplará procedimentos que garantam a segurança,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778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a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preservação e a disponibilidade dos documentos e dos registros contábeis mantidos em sua base de dados.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15.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Impedir o controle periódico de saldos das contas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776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contábeis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sem individualização do registro para cada fato contábil ocorrido.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16.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Inibir a utilização de ferramentas de sistema que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778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refaçam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os lançamentos contábeis em momento posterior ao fato contábil ocorrido.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17.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Manter rotinas para a realização de correções ou de anulações por meio de novos registros, assegurando a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4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inalterabilidade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das informações originais incluídas após sua contabilização, de forma a preservar o registro histórico dos atos.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101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lastRenderedPageBreak/>
              <w:t>18.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Deverá impedir registros contábeis após o balancete encerrado.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19.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Assegurará à sociedade o acesso às informações sobre a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1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execução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orçamentária e financeira, em meio eletrônico que possibilite amplo acesso público, nos termos das Leis de Transparência Pública e Acesso à Informação.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06/2021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20.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Deverá aplicar soluções tecnológicas que visem a simplificar processos e procedimentos de atendimento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328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ao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cidadão e propiciar melhores condições para o compartilhamento das informações por meio de dados abertos, através de arquivos nos formados CSV, PDF, e planilhas eletrônicas.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06/2021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21.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Deverá observar, preferencialmente, o conjunto de recomendações para acessibilidade dos sítios eletrônicos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4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32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das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Entidades Municipais, de forma padronizada e de fácil implementação, conforme o Modelo de </w:t>
            </w:r>
          </w:p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>Acessibilidade em Governo Eletrônico (</w:t>
            </w:r>
            <w:proofErr w:type="spellStart"/>
            <w:r>
              <w:rPr>
                <w:rFonts w:ascii="Bookman Old Style" w:eastAsiaTheme="minorEastAsia" w:hAnsi="Bookman Old Style"/>
                <w:szCs w:val="22"/>
              </w:rPr>
              <w:t>e-MAG</w:t>
            </w:r>
            <w:proofErr w:type="spellEnd"/>
            <w:r>
              <w:rPr>
                <w:rFonts w:ascii="Bookman Old Style" w:eastAsiaTheme="minorEastAsia" w:hAnsi="Bookman Old Style"/>
                <w:szCs w:val="22"/>
              </w:rPr>
              <w:t xml:space="preserve">); e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97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left="12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ITEM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AÇÕES </w:t>
            </w:r>
          </w:p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DATA </w:t>
            </w:r>
          </w:p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INÍCIO </w:t>
            </w:r>
          </w:p>
          <w:p w:rsidR="00281257" w:rsidRDefault="00341394">
            <w:pPr>
              <w:spacing w:line="276" w:lineRule="auto"/>
              <w:ind w:left="26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(MÊS/ANO)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DATA </w:t>
            </w:r>
          </w:p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CONCLUSÃO (MÊS/ANO) </w:t>
            </w:r>
          </w:p>
        </w:tc>
      </w:tr>
      <w:tr w:rsidR="00281257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3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22.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Possuir mecanismos que garantam a integridade, a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778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confiabilidade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, a </w:t>
            </w:r>
            <w:proofErr w:type="spellStart"/>
            <w:r>
              <w:rPr>
                <w:rFonts w:ascii="Bookman Old Style" w:eastAsiaTheme="minorEastAsia" w:hAnsi="Bookman Old Style"/>
                <w:szCs w:val="22"/>
              </w:rPr>
              <w:t>auditabilidade</w:t>
            </w:r>
            <w:proofErr w:type="spellEnd"/>
            <w:r>
              <w:rPr>
                <w:rFonts w:ascii="Bookman Old Style" w:eastAsiaTheme="minorEastAsia" w:hAnsi="Bookman Old Style"/>
                <w:szCs w:val="22"/>
              </w:rPr>
              <w:t xml:space="preserve"> e a disponibilidade da informação registrada.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3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23.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Deverá conter, no documento contábil que gerou o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776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registro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, </w:t>
            </w:r>
            <w:r>
              <w:rPr>
                <w:rFonts w:ascii="Bookman Old Style" w:eastAsiaTheme="minorEastAsia" w:hAnsi="Bookman Old Style"/>
                <w:szCs w:val="22"/>
              </w:rPr>
              <w:tab/>
              <w:t xml:space="preserve">a </w:t>
            </w:r>
            <w:r>
              <w:rPr>
                <w:rFonts w:ascii="Bookman Old Style" w:eastAsiaTheme="minorEastAsia" w:hAnsi="Bookman Old Style"/>
                <w:szCs w:val="22"/>
              </w:rPr>
              <w:tab/>
              <w:t xml:space="preserve">identificação </w:t>
            </w:r>
            <w:r>
              <w:rPr>
                <w:rFonts w:ascii="Bookman Old Style" w:eastAsiaTheme="minorEastAsia" w:hAnsi="Bookman Old Style"/>
                <w:szCs w:val="22"/>
              </w:rPr>
              <w:tab/>
              <w:t xml:space="preserve">do </w:t>
            </w:r>
            <w:r>
              <w:rPr>
                <w:rFonts w:ascii="Bookman Old Style" w:eastAsiaTheme="minorEastAsia" w:hAnsi="Bookman Old Style"/>
                <w:szCs w:val="22"/>
              </w:rPr>
              <w:tab/>
              <w:t xml:space="preserve">sistema </w:t>
            </w:r>
            <w:r>
              <w:rPr>
                <w:rFonts w:ascii="Bookman Old Style" w:eastAsiaTheme="minorEastAsia" w:hAnsi="Bookman Old Style"/>
                <w:szCs w:val="22"/>
              </w:rPr>
              <w:tab/>
              <w:t xml:space="preserve">e </w:t>
            </w:r>
            <w:r>
              <w:rPr>
                <w:rFonts w:ascii="Bookman Old Style" w:eastAsiaTheme="minorEastAsia" w:hAnsi="Bookman Old Style"/>
                <w:szCs w:val="22"/>
              </w:rPr>
              <w:tab/>
              <w:t xml:space="preserve">do </w:t>
            </w:r>
            <w:r>
              <w:rPr>
                <w:rFonts w:ascii="Bookman Old Style" w:eastAsiaTheme="minorEastAsia" w:hAnsi="Bookman Old Style"/>
                <w:szCs w:val="22"/>
              </w:rPr>
              <w:tab/>
              <w:t xml:space="preserve">seu desenvolvedor.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3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24.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Atenderá, preferencialmente, à arquitetura dos Padrões de Interoperabilidade de Governo Eletrônico - </w:t>
            </w:r>
            <w:proofErr w:type="spellStart"/>
            <w:r>
              <w:rPr>
                <w:rFonts w:ascii="Bookman Old Style" w:eastAsiaTheme="minorEastAsia" w:hAnsi="Bookman Old Style"/>
                <w:szCs w:val="22"/>
              </w:rPr>
              <w:t>ePING</w:t>
            </w:r>
            <w:proofErr w:type="spellEnd"/>
            <w:r>
              <w:rPr>
                <w:rFonts w:ascii="Bookman Old Style" w:eastAsiaTheme="minorEastAsia" w:hAnsi="Bookman Old Style"/>
                <w:szCs w:val="22"/>
              </w:rPr>
              <w:t xml:space="preserve">,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33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1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que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define o conjunto mínimo de premissas, políticas e especificações técnicas que regulamentam a utilização da tecnologia de informação e comunicação no Governo federal.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3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lastRenderedPageBreak/>
              <w:t>25.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Deverá ter mecanismos de controle de acesso de usuários baseados, no mínimo, na segregação das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4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funções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de execução orçamentária e financeira, de controle e de consulta, e não será permitido que uma unidade gestora tenha acesso aos dados de outra.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06/2021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106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right="33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26.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 w:right="1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O acesso ao Sistema para registro e consulta dos documentos apenas será permitido após o cadastramento e a habilitação de cada usuário, por meio do número de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328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inscrição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no CPF ou por certificado digital, com a geração de código de identificação próprio e intransferível, vedada a criação de usuários genéricos sem a identificação por CPF.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101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right="33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27.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O Sistema deverá manter controle das senhas e da concessão e da revogação de acesso.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3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28.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O registro das operações de inclusão, exclusão ou alteração de dados efetuadas pelos usuários será mantido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4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1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no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Sistema e conterá, no mínimo: o código CPF do usuário; a operação realizada; e a data e a hora da operação.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50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3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29.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Na hipótese de ser disponibilizada a realização de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3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operações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de inclusão, de exclusão ou de alteração de dados no Sistema por meio da internet, deverá ser garantida autenticidade através de conexão segura.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07/2021 </w:t>
            </w:r>
          </w:p>
        </w:tc>
      </w:tr>
      <w:tr w:rsidR="00281257">
        <w:trPr>
          <w:trHeight w:val="97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left="12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ITEM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AÇÕES </w:t>
            </w:r>
          </w:p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DATA </w:t>
            </w:r>
          </w:p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INÍCIO </w:t>
            </w:r>
          </w:p>
          <w:p w:rsidR="00281257" w:rsidRDefault="00341394">
            <w:pPr>
              <w:spacing w:line="276" w:lineRule="auto"/>
              <w:ind w:left="26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(MÊS/ANO)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DATA </w:t>
            </w:r>
          </w:p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CONCLUSÃO (MÊS/ANO) </w:t>
            </w:r>
          </w:p>
        </w:tc>
      </w:tr>
      <w:tr w:rsidR="00281257">
        <w:trPr>
          <w:trHeight w:val="101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30.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A base de dados do Sistema deverá ter mecanismos de proteção contra acesso direto não autorizado.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51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31.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Proibir a manipulação da base de dados, e o Sistema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776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registrará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cada operação realizada em histórico gerado pelo banco de dados, através de </w:t>
            </w:r>
            <w:r>
              <w:rPr>
                <w:rFonts w:ascii="Bookman Old Style" w:eastAsiaTheme="minorEastAsia" w:hAnsi="Bookman Old Style"/>
                <w:b/>
                <w:i/>
                <w:szCs w:val="22"/>
              </w:rPr>
              <w:t>logs.</w:t>
            </w:r>
            <w:r>
              <w:rPr>
                <w:rFonts w:ascii="Bookman Old Style" w:eastAsiaTheme="minorEastAsia" w:hAnsi="Bookman Old Style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01/2022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  <w:tr w:rsidR="00281257">
        <w:trPr>
          <w:trHeight w:val="78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57" w:rsidRDefault="00341394">
            <w:pPr>
              <w:spacing w:line="276" w:lineRule="auto"/>
              <w:ind w:right="34"/>
              <w:jc w:val="right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b/>
                <w:szCs w:val="22"/>
              </w:rPr>
              <w:t>32.</w:t>
            </w:r>
            <w:r>
              <w:rPr>
                <w:rFonts w:ascii="Bookman Old Style" w:eastAsia="Arial" w:hAnsi="Bookman Old Style" w:cs="Arial"/>
                <w:b/>
                <w:szCs w:val="22"/>
              </w:rPr>
              <w:t xml:space="preserve"> </w:t>
            </w:r>
            <w:r>
              <w:rPr>
                <w:rFonts w:ascii="Bookman Old Style" w:eastAsiaTheme="minorEastAsia" w:hAnsi="Bookman Old Style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57" w:rsidRDefault="00341394">
            <w:pPr>
              <w:spacing w:line="276" w:lineRule="auto"/>
              <w:ind w:left="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Deverá permitir a realização de cópia de segurança da base de dados do Sistema que permita a sua recuperação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</w:tr>
      <w:tr w:rsidR="00281257">
        <w:trPr>
          <w:trHeight w:val="1054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281257">
            <w:pPr>
              <w:spacing w:line="276" w:lineRule="auto"/>
              <w:rPr>
                <w:rFonts w:ascii="Bookman Old Style" w:eastAsiaTheme="minorEastAsia" w:hAnsi="Bookman Old Style"/>
                <w:szCs w:val="22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ind w:left="2" w:right="1"/>
              <w:rPr>
                <w:rFonts w:ascii="Bookman Old Style" w:hAnsi="Bookman Old Style"/>
                <w:szCs w:val="22"/>
              </w:rPr>
            </w:pPr>
            <w:proofErr w:type="gramStart"/>
            <w:r>
              <w:rPr>
                <w:rFonts w:ascii="Bookman Old Style" w:eastAsiaTheme="minorEastAsia" w:hAnsi="Bookman Old Style"/>
                <w:szCs w:val="22"/>
              </w:rPr>
              <w:t>em</w:t>
            </w:r>
            <w:proofErr w:type="gramEnd"/>
            <w:r>
              <w:rPr>
                <w:rFonts w:ascii="Bookman Old Style" w:eastAsiaTheme="minorEastAsia" w:hAnsi="Bookman Old Style"/>
                <w:szCs w:val="22"/>
              </w:rPr>
              <w:t xml:space="preserve"> caso de incidente ou de falha, preferencialmente com periodicidade diária, sem prejuízo de outros procedimentos de segurança da informação.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05/2021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257" w:rsidRDefault="00341394">
            <w:pPr>
              <w:spacing w:line="276" w:lineRule="auto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eastAsiaTheme="minorEastAsia" w:hAnsi="Bookman Old Style"/>
                <w:szCs w:val="22"/>
              </w:rPr>
              <w:t xml:space="preserve">12/2022 </w:t>
            </w:r>
          </w:p>
        </w:tc>
      </w:tr>
    </w:tbl>
    <w:p w:rsidR="00281257" w:rsidRDefault="00341394">
      <w:pPr>
        <w:spacing w:after="224"/>
        <w:ind w:left="2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281257" w:rsidRDefault="00341394">
      <w:pPr>
        <w:spacing w:after="222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</w:p>
    <w:p w:rsidR="00281257" w:rsidRDefault="00281257">
      <w:pPr>
        <w:ind w:firstLine="708"/>
        <w:jc w:val="both"/>
        <w:rPr>
          <w:rFonts w:ascii="Bookman Old Style" w:hAnsi="Bookman Old Style" w:cs="Tahoma"/>
          <w:b/>
          <w:i/>
          <w:szCs w:val="22"/>
        </w:rPr>
      </w:pPr>
    </w:p>
    <w:p w:rsidR="00281257" w:rsidRDefault="00281257">
      <w:pPr>
        <w:pStyle w:val="Recuodecorpodetexto"/>
        <w:ind w:left="0"/>
        <w:jc w:val="center"/>
        <w:rPr>
          <w:rFonts w:ascii="Bookman Old Style" w:hAnsi="Bookman Old Style" w:cs="Tahoma"/>
          <w:b w:val="0"/>
          <w:sz w:val="22"/>
          <w:szCs w:val="22"/>
          <w:u w:val="none"/>
        </w:rPr>
      </w:pPr>
    </w:p>
    <w:p w:rsidR="00281257" w:rsidRDefault="00281257">
      <w:pPr>
        <w:rPr>
          <w:rFonts w:ascii="Bookman Old Style" w:hAnsi="Bookman Old Style"/>
          <w:szCs w:val="22"/>
        </w:rPr>
      </w:pPr>
    </w:p>
    <w:p w:rsidR="00281257" w:rsidRDefault="00281257">
      <w:pPr>
        <w:jc w:val="both"/>
        <w:rPr>
          <w:rFonts w:ascii="Bookman Old Style" w:hAnsi="Bookman Old Style"/>
          <w:szCs w:val="22"/>
        </w:rPr>
      </w:pPr>
    </w:p>
    <w:p w:rsidR="00281257" w:rsidRDefault="00281257">
      <w:pPr>
        <w:pStyle w:val="Recuodecorpodetexto"/>
        <w:ind w:left="0" w:firstLine="283"/>
        <w:rPr>
          <w:rFonts w:ascii="Bookman Old Style" w:hAnsi="Bookman Old Style" w:cs="Tahoma"/>
          <w:b w:val="0"/>
          <w:sz w:val="22"/>
          <w:szCs w:val="22"/>
          <w:u w:val="none"/>
        </w:rPr>
      </w:pPr>
    </w:p>
    <w:p w:rsidR="00281257" w:rsidRDefault="00281257"/>
    <w:sectPr w:rsidR="00281257">
      <w:pgSz w:w="11906" w:h="16838"/>
      <w:pgMar w:top="2268" w:right="851" w:bottom="992" w:left="85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94" w:rsidRDefault="00341394">
      <w:r>
        <w:separator/>
      </w:r>
    </w:p>
  </w:endnote>
  <w:endnote w:type="continuationSeparator" w:id="0">
    <w:p w:rsidR="00341394" w:rsidRDefault="003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94" w:rsidRDefault="00341394">
      <w:r>
        <w:separator/>
      </w:r>
    </w:p>
  </w:footnote>
  <w:footnote w:type="continuationSeparator" w:id="0">
    <w:p w:rsidR="00341394" w:rsidRDefault="0034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7"/>
    <w:rsid w:val="00281257"/>
    <w:rsid w:val="00341394"/>
    <w:rsid w:val="006A6A3A"/>
    <w:rsid w:val="00E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22C9"/>
  <w15:docId w15:val="{211A4051-65D1-4AAD-8D5B-9B988831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F8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qFormat/>
    <w:rsid w:val="009D16F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9D16F8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D16F8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16F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Pr>
      <w:rFonts w:ascii="Bookman Old Style" w:hAnsi="Bookman Old Style"/>
      <w:szCs w:val="22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">
    <w:name w:val="ListLabel 2"/>
    <w:qFormat/>
    <w:rPr>
      <w:rFonts w:ascii="Bookman Old Style" w:hAnsi="Bookman Old Style"/>
      <w:szCs w:val="22"/>
      <w:u w:val="single" w:color="00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ecuodecorpodetexto">
    <w:name w:val="Body Text Indent"/>
    <w:basedOn w:val="Normal"/>
    <w:link w:val="RecuodecorpodetextoChar"/>
    <w:rsid w:val="009D16F8"/>
    <w:pPr>
      <w:ind w:left="4500"/>
      <w:jc w:val="both"/>
    </w:pPr>
    <w:rPr>
      <w:b/>
      <w:sz w:val="24"/>
      <w:u w:val="single"/>
    </w:rPr>
  </w:style>
  <w:style w:type="paragraph" w:styleId="Cabealho">
    <w:name w:val="header"/>
    <w:basedOn w:val="Normal"/>
    <w:link w:val="CabealhoChar"/>
    <w:unhideWhenUsed/>
    <w:rsid w:val="009D16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D16F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D16F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customStyle="1" w:styleId="TableGrid">
    <w:name w:val="TableGrid"/>
    <w:rsid w:val="009D16F8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CP/Lcp10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CP/Lcp101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CP/Lcp101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planalto.gov.br/ccivil_03/LEIS/LCP/Lcp10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LEIS/LCP/Lcp10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1834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Usuário do Windows</cp:lastModifiedBy>
  <cp:revision>2</cp:revision>
  <dcterms:created xsi:type="dcterms:W3CDTF">2021-04-28T18:11:00Z</dcterms:created>
  <dcterms:modified xsi:type="dcterms:W3CDTF">2021-04-28T18:11:00Z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